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60C" w:rsidRPr="0044560C" w:rsidRDefault="001968C6" w:rsidP="00445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4560C">
        <w:rPr>
          <w:rFonts w:ascii="Times New Roman" w:hAnsi="Times New Roman" w:cs="Times New Roman"/>
          <w:bCs/>
          <w:sz w:val="28"/>
          <w:szCs w:val="28"/>
        </w:rPr>
        <w:t>П</w:t>
      </w:r>
      <w:r w:rsidR="0044560C" w:rsidRPr="0044560C">
        <w:rPr>
          <w:rFonts w:ascii="Times New Roman" w:hAnsi="Times New Roman" w:cs="Times New Roman"/>
          <w:bCs/>
          <w:sz w:val="28"/>
          <w:szCs w:val="28"/>
        </w:rPr>
        <w:t xml:space="preserve">роект изменений в паспорт </w:t>
      </w:r>
    </w:p>
    <w:p w:rsidR="0044560C" w:rsidRDefault="0044560C" w:rsidP="00445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4560C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города Липецка </w:t>
      </w:r>
    </w:p>
    <w:p w:rsidR="00E63C68" w:rsidRPr="0044560C" w:rsidRDefault="0044560C" w:rsidP="00445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4560C">
        <w:rPr>
          <w:rFonts w:ascii="Times New Roman" w:hAnsi="Times New Roman" w:cs="Times New Roman"/>
          <w:bCs/>
          <w:sz w:val="28"/>
          <w:szCs w:val="28"/>
        </w:rPr>
        <w:t>«Развитие образования города Липецка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E63C68" w:rsidRDefault="00E63C68" w:rsidP="00E63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655"/>
      </w:tblGrid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департамент образования администрации города Липецка (далее - департамент образования)</w:t>
            </w:r>
          </w:p>
        </w:tc>
      </w:tr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Соисполнители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администрация города Липецка;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департамент по физической культуре и спорту администрации города Липецка (далее - департамент по физической культуре и спорту);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департамент культуры и туризма администрации города Липецка (далее - департамент культуры и туризма);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департамент градостроительства и архитектуры администрации города Липецка (далее - департамент градостроительства и архитектуры);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управление опеки (попечительства) и охраны прав детства администрации города Липецка (далее - управление опеки (попечительства) и охраны прав детства)</w:t>
            </w:r>
          </w:p>
        </w:tc>
      </w:tr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Сроки реализации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1CA" w:rsidRPr="00A561CA" w:rsidRDefault="00A561CA" w:rsidP="00AD4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2017 - 202</w:t>
            </w:r>
            <w:r w:rsidR="00AD4D3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6" w:history="1">
              <w:r w:rsidRPr="00A561C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подпрограмма 1</w:t>
              </w:r>
            </w:hyperlink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"Повышение доступности и качества услуг в системе общего образования";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7" w:history="1">
              <w:r w:rsidRPr="00A561C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подпрограмма 2</w:t>
              </w:r>
            </w:hyperlink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"Повышение доступности и качества услуг в системе дополнительного образования";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8" w:history="1">
              <w:r w:rsidRPr="00A561C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подпрограмма 3</w:t>
              </w:r>
            </w:hyperlink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"Совершенствование организации отдыха и создание условий для занятости детей в каникулярное время";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9" w:history="1">
              <w:r w:rsidRPr="00A561C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подпрограмма 4</w:t>
              </w:r>
            </w:hyperlink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"Обеспечение устойчивого функционирования и развития системы образования города Липецка"</w:t>
            </w:r>
          </w:p>
        </w:tc>
      </w:tr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повышение доступности и качества предоставляемых услуг за счет развития ресурсов системы образования и их эффективного использования</w:t>
            </w:r>
          </w:p>
        </w:tc>
      </w:tr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Целевые индикаторы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1) удовлетворенность населения качеством предоставления услуг в сфере дошкольного образования;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2) удовлетворенность населения качеством предоставления услуг в сфере общего образования;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3) удовлетворенность населения качеством предоставления услуг в сфере дополнительного образования</w:t>
            </w:r>
          </w:p>
        </w:tc>
      </w:tr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Задачи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t>задача 1 - обеспечение условий для равного доступа обучающихся к качественному общему образованию, включая условия доступной среды и социальные гарантии отдельным категориям детей;</w:t>
            </w:r>
          </w:p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t xml:space="preserve">задача 2 - обеспечение условий для достижения новых образовательных результатов в соответствии с федеральными государственными образовательными стандартами (далее - ФГОС); </w:t>
            </w:r>
          </w:p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t xml:space="preserve">задача 3 - обеспечение условий для интеллектуального, творческого и физического развития детей и подростков; </w:t>
            </w:r>
          </w:p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t xml:space="preserve">задача 4 - обеспечение условий для совершенствования организации отдыха и занятости обучающихся в каникулярное время; </w:t>
            </w:r>
          </w:p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lastRenderedPageBreak/>
              <w:t xml:space="preserve">задача 5 - совершенствование механизмов управления функционированием и развитием муниципальной образовательной системы; </w:t>
            </w:r>
          </w:p>
          <w:p w:rsidR="00A561CA" w:rsidRPr="00A561CA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  <w:rPr>
                <w:bCs/>
              </w:rPr>
            </w:pPr>
            <w:r>
              <w:t xml:space="preserve">задача 6 - обеспечение в муниципальных образовательных учреждениях условий безопасности и доступности </w:t>
            </w:r>
          </w:p>
        </w:tc>
      </w:tr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Показатели задач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t>Показатели задачи 1: 1) доля детей от 2 месяцев до 7 лет, обеспеченных местами в образовательных учреждениях, реализующих программы дошкольного образования, в общей численности детей данной возрастной категории, поставленных на учет по предоставлению места в ДОУ в текущем году, в том числе доля детей от 2 месяцев до 3 лет, обеспеченных местами в образовательных учреждениях, реализующих программы дошкольного образования, в общей численности детей, поставленных на учет по предоставлению места в ДОУ в текущем году; 2) доля учащихся общеобразовательных учреждений, занимающихся в первую смену, в общей численности учащихся общеобразовательных учреждений; 3) доля учащихся общеобразовательных учреждений, охваченных горячим питанием, в общей численности учащихся общеобразовательных учреждений, в том числе доля учащихся 1 - 4 классов общеобразовательных учреждений, охваченных горячим питанием, в общей численности учащихся 1 - 4 классов общеобразовательных учреждений; 4) доля муниципальных общеобразовательных учреждений, соответствующих современным требованиям к реализации основных общеобразовательных программ, в общем количестве общеобразовательных учреждений; 5) доля муниципальных дошкольных и общеобразовательных учреждений, имеющих условия доступной среды, в общем количестве муниципальных дошкольных и общеобразовательных учреждений; 6) доля педагогических работников общеобразовательных учреждений, выполняющих функции классного руководителя и получающих за это соответствующую доплату, в общей численности педагогических работников общеобразовательных учреждений, выполняющих функции классного руководителя.</w:t>
            </w:r>
          </w:p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t xml:space="preserve">Показатели задачи 2: 1) доля учащихся общеобразовательных учреждений, осваивающих обновленные федеральные государственные образовательные стандарты (далее - ФГОС), в общей численности учащихся общеобразовательных учреждений; 2) количество ставок советников директора по воспитанию и взаимодействию с детскими общественными объединениями в муниципальных общеобразовательных организациях; 3) количество муниципальных общеобразовательных организаций, охваченных мероприятиями по обеспечению деятельности советников директора по воспитанию и взаимодействию с детскими общественными объединениями; 4) доля учащихся - участников олимпиад муниципального уровня в общей численности учащихся 3 - 11 классов; 5) доля учащихся - участников физкультурных и спортивных мероприятий муниципального уровня в общей численности учащихся 5 - 11 классов общеобразовательных учреждений. </w:t>
            </w:r>
          </w:p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t xml:space="preserve">Показатели задачи 3: 1) доля учащихся, осваивающих дополнительные общеобразовательные программы в учреждениях, подведомственных: а) департаменту образования; б) департаменту по физической культуре и спорту; в) департаменту культуры и туризма, в общей численности детей </w:t>
            </w:r>
            <w:r>
              <w:lastRenderedPageBreak/>
              <w:t xml:space="preserve">и молодежи от 5 до 18 лет; 2) доля учащихся, участвующих в конкурсах творческой направленности муниципального уровня, в общей численности учащихся; 3) доля воспитанников ДОУ старшего дошкольного возраста, охваченных мероприятиями муниципального уровня, направленными на развитие способностей и наклонностей детей, в общей численности воспитанников ДОУ старшего дошкольного возраста. </w:t>
            </w:r>
          </w:p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t xml:space="preserve">Показатель задачи 4: 1) охват детей от 6,5 до 15 лет различными формами отдыха и оздоровления. </w:t>
            </w:r>
          </w:p>
          <w:p w:rsidR="00AD4D37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</w:pPr>
            <w:r>
              <w:t xml:space="preserve">Показатели задачи 5: 1) обеспеченность системы образования педагогическими кадрами; 2) доля муниципальных учреждений, выполнивших муниципальные задания, в общем количестве муниципальных учреждений. </w:t>
            </w:r>
          </w:p>
          <w:p w:rsidR="00A561CA" w:rsidRPr="00A561CA" w:rsidRDefault="00AD4D37" w:rsidP="00AD4D37">
            <w:pPr>
              <w:pStyle w:val="a3"/>
              <w:spacing w:before="0" w:beforeAutospacing="0" w:after="0" w:afterAutospacing="0" w:line="288" w:lineRule="atLeast"/>
              <w:jc w:val="both"/>
              <w:rPr>
                <w:bCs/>
              </w:rPr>
            </w:pPr>
            <w:r>
              <w:t xml:space="preserve">Показатель задачи 6: 1) доля муниципальных образовательных учреждений, в которых в отчетный период улучшены условия образовательной деятельности за счет проведения капитальных ремонтов, совершенствования условий безопасности и доступности, в общем количестве муниципальных образовательных учреждений </w:t>
            </w:r>
          </w:p>
        </w:tc>
      </w:tr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Объем финансирования за счет средств бюджета города Липецка с разбивкой по годам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 xml:space="preserve">2017 - 2027 </w:t>
            </w:r>
            <w:r w:rsidRPr="0007151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7151D" w:rsidRPr="00071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151D">
              <w:rPr>
                <w:rFonts w:ascii="Times New Roman" w:hAnsi="Times New Roman" w:cs="Times New Roman"/>
                <w:sz w:val="24"/>
                <w:szCs w:val="24"/>
              </w:rPr>
              <w:t xml:space="preserve"> 25901729,826 </w:t>
            </w:r>
            <w:r w:rsidRPr="0007151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. руб., из них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2017 год –  2017316,443 тыс. руб.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2018 год –  1972358,06 тыс. руб.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2019 год –   2113489,777 тыс. руб.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2020 год –   2004586,761 тыс. руб.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2021 год –   2321488,779 тыс. руб.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2022 год –   2365524,141 тыс. руб.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2023 год –   2586749,75 тыс. руб.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2024 год –   3612456,285 тыс. руб.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 xml:space="preserve">2025 год –   </w:t>
            </w:r>
            <w:r w:rsidR="0007151D" w:rsidRPr="0007151D">
              <w:rPr>
                <w:rFonts w:ascii="Times New Roman" w:hAnsi="Times New Roman" w:cs="Times New Roman"/>
                <w:sz w:val="24"/>
                <w:szCs w:val="24"/>
              </w:rPr>
              <w:t>2818645,027</w:t>
            </w:r>
            <w:r w:rsidR="00071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51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  <w:p w:rsidR="00AD4D37" w:rsidRPr="00AD4D37" w:rsidRDefault="00AD4D37" w:rsidP="00AD4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 xml:space="preserve">2026 год –   </w:t>
            </w:r>
            <w:r w:rsidR="0007151D">
              <w:rPr>
                <w:rFonts w:ascii="Times New Roman" w:hAnsi="Times New Roman" w:cs="Times New Roman"/>
                <w:sz w:val="24"/>
                <w:szCs w:val="24"/>
              </w:rPr>
              <w:t>2062122,833</w:t>
            </w: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A561CA" w:rsidRPr="00AD4D37" w:rsidRDefault="00AD4D37" w:rsidP="00071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 xml:space="preserve">2027 год –   </w:t>
            </w:r>
            <w:r w:rsidR="0007151D">
              <w:rPr>
                <w:rFonts w:ascii="Times New Roman" w:hAnsi="Times New Roman" w:cs="Times New Roman"/>
                <w:sz w:val="24"/>
                <w:szCs w:val="24"/>
              </w:rPr>
              <w:t>2026991,97</w:t>
            </w:r>
            <w:r w:rsidRPr="00AD4D3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A561CA" w:rsidTr="00A561C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конечные результаты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функционирование на территории города сети учреждений, предоставляющих доступное для всех категорий граждан качественное общее образование (включая дошкольное), оказывающих качественные услуги по предоставлению дополнительного образования, организующих отдых детей в каникулярное время;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развитие образовательной системы города Липецка в соответствии с приоритетами государственной политики в сфере образования;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рост </w:t>
            </w:r>
            <w:proofErr w:type="spellStart"/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ресурсообеспеченности</w:t>
            </w:r>
            <w:proofErr w:type="spellEnd"/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конкурентоспособности системы образования;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укрепление социального статуса педагогического работника;</w:t>
            </w:r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повышение экономической эффективности системы образования;</w:t>
            </w:r>
            <w:bookmarkStart w:id="0" w:name="_GoBack"/>
            <w:bookmarkEnd w:id="0"/>
          </w:p>
          <w:p w:rsidR="00A561CA" w:rsidRPr="00A561CA" w:rsidRDefault="00A56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1CA">
              <w:rPr>
                <w:rFonts w:ascii="Times New Roman" w:hAnsi="Times New Roman" w:cs="Times New Roman"/>
                <w:bCs/>
                <w:sz w:val="24"/>
                <w:szCs w:val="24"/>
              </w:rPr>
              <w:t>- удовлетворенность населения качеством предоставляемых услуг</w:t>
            </w:r>
            <w:r w:rsidR="002E523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A561CA" w:rsidRDefault="00A561CA" w:rsidP="00E63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61CA" w:rsidSect="00EF7B27">
      <w:headerReference w:type="default" r:id="rId10"/>
      <w:pgSz w:w="11906" w:h="16838" w:code="9"/>
      <w:pgMar w:top="1134" w:right="567" w:bottom="1134" w:left="1418" w:header="283" w:footer="283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60C" w:rsidRDefault="0044560C" w:rsidP="0044560C">
      <w:pPr>
        <w:spacing w:after="0" w:line="240" w:lineRule="auto"/>
      </w:pPr>
      <w:r>
        <w:separator/>
      </w:r>
    </w:p>
  </w:endnote>
  <w:endnote w:type="continuationSeparator" w:id="0">
    <w:p w:rsidR="0044560C" w:rsidRDefault="0044560C" w:rsidP="0044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60C" w:rsidRDefault="0044560C" w:rsidP="0044560C">
      <w:pPr>
        <w:spacing w:after="0" w:line="240" w:lineRule="auto"/>
      </w:pPr>
      <w:r>
        <w:separator/>
      </w:r>
    </w:p>
  </w:footnote>
  <w:footnote w:type="continuationSeparator" w:id="0">
    <w:p w:rsidR="0044560C" w:rsidRDefault="0044560C" w:rsidP="00445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14599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4560C" w:rsidRPr="0044560C" w:rsidRDefault="0044560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56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56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56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52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4560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4560C" w:rsidRPr="0044560C" w:rsidRDefault="0044560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371"/>
    <w:rsid w:val="0007151D"/>
    <w:rsid w:val="001968C6"/>
    <w:rsid w:val="002978DB"/>
    <w:rsid w:val="002B7B81"/>
    <w:rsid w:val="002E5235"/>
    <w:rsid w:val="00377800"/>
    <w:rsid w:val="0044560C"/>
    <w:rsid w:val="00531CB0"/>
    <w:rsid w:val="006A3890"/>
    <w:rsid w:val="007C1371"/>
    <w:rsid w:val="007C5645"/>
    <w:rsid w:val="00A279E8"/>
    <w:rsid w:val="00A561CA"/>
    <w:rsid w:val="00AD4D37"/>
    <w:rsid w:val="00E63C68"/>
    <w:rsid w:val="00EF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A88C9"/>
  <w15:chartTrackingRefBased/>
  <w15:docId w15:val="{6AE0F85C-10AA-467A-B5DE-7CFD88DE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D4D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44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560C"/>
  </w:style>
  <w:style w:type="paragraph" w:styleId="a6">
    <w:name w:val="footer"/>
    <w:basedOn w:val="a"/>
    <w:link w:val="a7"/>
    <w:uiPriority w:val="99"/>
    <w:unhideWhenUsed/>
    <w:rsid w:val="0044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5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BDD530359F0F38EF911790000D262909C1353CDBFB7FF15501579F2DDE8F9D77B26715A354B27112AB9555B7D92481723954927AC6EA2CB7A33F8FU9MF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BDD530359F0F38EF911790000D262909C1353CDBFB7FF15501579F2DDE8F9D77B26715A354B27112AB955FBFD92481723954927AC6EA2CB7A33F8FU9MF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BDD530359F0F38EF911790000D262909C1353CDBFB7FF15501579F2DDE8F9D77B26715A354B27112AB9459B8D92481723954927AC6EA2CB7A33F8FU9MF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ABDD530359F0F38EF911790000D262909C1353CDBFB7FF15501579F2DDE8F9D77B26715A354B27112AA9C59BCD92481723954927AC6EA2CB7A33F8FU9M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Ивановна Цыганова</dc:creator>
  <cp:keywords/>
  <dc:description/>
  <cp:lastModifiedBy>Попова С.С.</cp:lastModifiedBy>
  <cp:revision>16</cp:revision>
  <dcterms:created xsi:type="dcterms:W3CDTF">2022-10-17T05:58:00Z</dcterms:created>
  <dcterms:modified xsi:type="dcterms:W3CDTF">2024-11-11T09:28:00Z</dcterms:modified>
</cp:coreProperties>
</file>